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DF" w:rsidRPr="00440CDF" w:rsidRDefault="00440CDF" w:rsidP="00440CDF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40CDF"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>«Игры на развитие зрительного контакта и подражания»</w:t>
      </w:r>
    </w:p>
    <w:p w:rsidR="00440CDF" w:rsidRPr="00440CDF" w:rsidRDefault="00440CDF" w:rsidP="00440CD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440CDF">
        <w:rPr>
          <w:color w:val="0F1115"/>
          <w:sz w:val="28"/>
        </w:rPr>
        <w:t>В</w:t>
      </w:r>
      <w:r w:rsidRPr="00440CDF">
        <w:rPr>
          <w:color w:val="0F1115"/>
          <w:sz w:val="28"/>
        </w:rPr>
        <w:t xml:space="preserve"> своей практике мы часто сталкиваемся с детьми, у которых нарушена коммуникативная функция: отсутствует или кратковременный зрительный контакт, наблюдается </w:t>
      </w:r>
      <w:proofErr w:type="spellStart"/>
      <w:r w:rsidRPr="00440CDF">
        <w:rPr>
          <w:color w:val="0F1115"/>
          <w:sz w:val="28"/>
        </w:rPr>
        <w:t>эхолалия</w:t>
      </w:r>
      <w:proofErr w:type="spellEnd"/>
      <w:r w:rsidRPr="00440CDF">
        <w:rPr>
          <w:color w:val="0F1115"/>
          <w:sz w:val="28"/>
        </w:rPr>
        <w:t xml:space="preserve"> вместо спонтанного подражания, трудности с разделенным вниманием.</w:t>
      </w:r>
    </w:p>
    <w:p w:rsidR="00440CDF" w:rsidRPr="00440CDF" w:rsidRDefault="00440CDF" w:rsidP="00440CD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440CDF">
        <w:rPr>
          <w:color w:val="0F1115"/>
          <w:sz w:val="28"/>
        </w:rPr>
        <w:t>Зрительный контакт и подражание — это фундамент, на котором строится совместная деятельность и речь. Предлагаю подборку игровых приемов, которые я использую на коррекционных занятиях.</w:t>
      </w:r>
    </w:p>
    <w:p w:rsidR="00440CDF" w:rsidRPr="00440CDF" w:rsidRDefault="00440CDF" w:rsidP="00440CD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Блок 1: Установление зрительного контакта</w:t>
      </w:r>
      <w:r>
        <w:rPr>
          <w:rStyle w:val="a3"/>
          <w:color w:val="0F1115"/>
          <w:sz w:val="28"/>
        </w:rPr>
        <w:t>.</w:t>
      </w:r>
    </w:p>
    <w:p w:rsidR="00440CDF" w:rsidRPr="00440CDF" w:rsidRDefault="00440CDF" w:rsidP="00440CD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«Где твои глазки?» (сенсорный этап).</w:t>
      </w:r>
      <w:r w:rsidRPr="00440CDF">
        <w:rPr>
          <w:color w:val="0F1115"/>
          <w:sz w:val="28"/>
        </w:rPr>
        <w:t xml:space="preserve"> Легкое поглаживание лица, носа, щек ребенка с проговариванием. Установление связи «лицо — это интересно и безопасно».</w:t>
      </w:r>
    </w:p>
    <w:p w:rsidR="00440CDF" w:rsidRPr="00440CDF" w:rsidRDefault="00440CDF" w:rsidP="00440CD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«Прятки с лицом».</w:t>
      </w:r>
      <w:r w:rsidRPr="00440CDF">
        <w:rPr>
          <w:color w:val="0F1115"/>
          <w:sz w:val="28"/>
        </w:rPr>
        <w:t xml:space="preserve"> Использование ширмочек, платков. Вариация: выглядывание из-за плеча ребенка, из-за стула. Цель — поймать взгляд и удержать его на 2-3 секунды.</w:t>
      </w:r>
    </w:p>
    <w:p w:rsidR="00440CDF" w:rsidRPr="00440CDF" w:rsidRDefault="00440CDF" w:rsidP="00440CD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«Светящиеся игрушки».</w:t>
      </w:r>
      <w:r w:rsidRPr="00440CDF">
        <w:rPr>
          <w:color w:val="0F1115"/>
          <w:sz w:val="28"/>
        </w:rPr>
        <w:t xml:space="preserve"> Использование фонарика или игрушек с подсветкой. В темной сенсорной комнате луч фонарика направляется на лицо взрослого, затем на игрушку. Ребенок непроизвольно отслеживает движение и фокусируется на лице.</w:t>
      </w:r>
    </w:p>
    <w:p w:rsidR="00440CDF" w:rsidRPr="00440CDF" w:rsidRDefault="00440CDF" w:rsidP="00440CD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Блок 2: Развитие подражания</w:t>
      </w:r>
      <w:r>
        <w:rPr>
          <w:rStyle w:val="a3"/>
          <w:color w:val="0F1115"/>
          <w:sz w:val="28"/>
        </w:rPr>
        <w:t>.</w:t>
      </w:r>
    </w:p>
    <w:p w:rsidR="00440CDF" w:rsidRPr="00440CDF" w:rsidRDefault="00440CDF" w:rsidP="00440CDF">
      <w:pPr>
        <w:pStyle w:val="ds-markdown-paragraph"/>
        <w:numPr>
          <w:ilvl w:val="0"/>
          <w:numId w:val="2"/>
        </w:numPr>
        <w:shd w:val="clear" w:color="auto" w:fill="FFFFFF"/>
        <w:spacing w:after="12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Уровень 1: Движения крупной моторики.</w:t>
      </w:r>
    </w:p>
    <w:p w:rsidR="00440CDF" w:rsidRPr="00440CDF" w:rsidRDefault="00440CDF" w:rsidP="00440CDF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4"/>
          <w:color w:val="0F1115"/>
          <w:sz w:val="28"/>
        </w:rPr>
        <w:t>Игра «Обезьянки».</w:t>
      </w:r>
      <w:r w:rsidRPr="00440CDF">
        <w:rPr>
          <w:color w:val="0F1115"/>
          <w:sz w:val="28"/>
        </w:rPr>
        <w:t xml:space="preserve"> Взрослый — «обезьянка». Задача: точное копирование позы (руки вверх, нога в сторону). Если ребенок не справляется, используем физическую подсказку (рука в руке).</w:t>
      </w:r>
    </w:p>
    <w:p w:rsidR="00440CDF" w:rsidRPr="00440CDF" w:rsidRDefault="00440CDF" w:rsidP="00440CDF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4"/>
          <w:color w:val="0F1115"/>
          <w:sz w:val="28"/>
        </w:rPr>
        <w:t>Игра «Стоп-кадр».</w:t>
      </w:r>
      <w:r w:rsidRPr="00440CDF">
        <w:rPr>
          <w:color w:val="0F1115"/>
          <w:sz w:val="28"/>
        </w:rPr>
        <w:t xml:space="preserve"> Под музыку двигаемся, с остановкой музыки — замираем в позе, которую задал взрослый.</w:t>
      </w:r>
    </w:p>
    <w:p w:rsidR="00440CDF" w:rsidRPr="00440CDF" w:rsidRDefault="00440CDF" w:rsidP="00440CDF">
      <w:pPr>
        <w:pStyle w:val="ds-markdown-paragraph"/>
        <w:numPr>
          <w:ilvl w:val="0"/>
          <w:numId w:val="2"/>
        </w:numPr>
        <w:shd w:val="clear" w:color="auto" w:fill="FFFFFF"/>
        <w:spacing w:after="12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Уровень 2: Действия с предметами.</w:t>
      </w:r>
    </w:p>
    <w:p w:rsidR="00440CDF" w:rsidRPr="00440CDF" w:rsidRDefault="00440CDF" w:rsidP="00440CDF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4"/>
          <w:color w:val="0F1115"/>
          <w:sz w:val="28"/>
        </w:rPr>
        <w:t>«Сделай как я» с кубиками/мячами.</w:t>
      </w:r>
      <w:r w:rsidRPr="00440CDF">
        <w:rPr>
          <w:color w:val="0F1115"/>
          <w:sz w:val="28"/>
        </w:rPr>
        <w:t xml:space="preserve"> Постройка башни, катание мяча, стук ложкой по кастрюле. Важно: у ребенка должен быть </w:t>
      </w:r>
      <w:r w:rsidRPr="00440CDF">
        <w:rPr>
          <w:rStyle w:val="a4"/>
          <w:color w:val="0F1115"/>
          <w:sz w:val="28"/>
        </w:rPr>
        <w:t>такой же</w:t>
      </w:r>
      <w:r w:rsidRPr="00440CDF">
        <w:rPr>
          <w:color w:val="0F1115"/>
          <w:sz w:val="28"/>
        </w:rPr>
        <w:t xml:space="preserve"> предмет в руках.</w:t>
      </w:r>
    </w:p>
    <w:p w:rsidR="00440CDF" w:rsidRPr="00440CDF" w:rsidRDefault="00440CDF" w:rsidP="00440CDF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4"/>
          <w:color w:val="0F1115"/>
          <w:sz w:val="28"/>
        </w:rPr>
        <w:t>«Веселые ладошки»</w:t>
      </w:r>
      <w:r w:rsidRPr="00440CDF">
        <w:rPr>
          <w:color w:val="0F1115"/>
          <w:sz w:val="28"/>
        </w:rPr>
        <w:t>. Хлопки в ладоши, «фонарики», «кулак-ладонь». Развивает кинестетическое чувство и произвольность.</w:t>
      </w:r>
    </w:p>
    <w:p w:rsidR="00440CDF" w:rsidRPr="00440CDF" w:rsidRDefault="00440CDF" w:rsidP="00440CDF">
      <w:pPr>
        <w:pStyle w:val="ds-markdown-paragraph"/>
        <w:numPr>
          <w:ilvl w:val="0"/>
          <w:numId w:val="2"/>
        </w:numPr>
        <w:shd w:val="clear" w:color="auto" w:fill="FFFFFF"/>
        <w:spacing w:after="12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Уровень 3: Артикуляционное и мимическое подражание.</w:t>
      </w:r>
    </w:p>
    <w:p w:rsidR="00440CDF" w:rsidRPr="00440CDF" w:rsidRDefault="00440CDF" w:rsidP="00440CDF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4"/>
          <w:color w:val="0F1115"/>
          <w:sz w:val="28"/>
        </w:rPr>
        <w:t>«Кривляки»</w:t>
      </w:r>
      <w:r w:rsidRPr="00440CDF">
        <w:rPr>
          <w:color w:val="0F1115"/>
          <w:sz w:val="28"/>
        </w:rPr>
        <w:t>. Перед зеркалом: улыбка, надутые щеки, высунутый язык, «трубочка» губами. Это прямая подготовка артикуляционного аппарата.</w:t>
      </w:r>
    </w:p>
    <w:p w:rsidR="00440CDF" w:rsidRPr="00440CDF" w:rsidRDefault="00440CDF" w:rsidP="00440CDF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4"/>
          <w:color w:val="0F1115"/>
          <w:sz w:val="28"/>
        </w:rPr>
        <w:t>«Звукоподражание»</w:t>
      </w:r>
      <w:r w:rsidRPr="00440CDF">
        <w:rPr>
          <w:color w:val="0F1115"/>
          <w:sz w:val="28"/>
        </w:rPr>
        <w:t>. «Как гудит поезд? У-у-у!», «Как лает собачка? Гав!». Здесь подражание переходит в речевую активность.</w:t>
      </w:r>
    </w:p>
    <w:p w:rsidR="00440CDF" w:rsidRPr="00440CDF" w:rsidRDefault="00440CDF" w:rsidP="00440CDF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Методические рекомендации:</w:t>
      </w:r>
    </w:p>
    <w:p w:rsidR="00440CDF" w:rsidRPr="00440CDF" w:rsidRDefault="00440CDF" w:rsidP="00440CD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lastRenderedPageBreak/>
        <w:t>Принцип «Рука в руке».</w:t>
      </w:r>
      <w:r w:rsidRPr="00440CDF">
        <w:rPr>
          <w:color w:val="0F1115"/>
          <w:sz w:val="28"/>
        </w:rPr>
        <w:t xml:space="preserve"> На начальном этапе используем совместное выполнение действия, постепенно убирая физическую подсказку.</w:t>
      </w:r>
    </w:p>
    <w:p w:rsidR="00440CDF" w:rsidRPr="00440CDF" w:rsidRDefault="00440CDF" w:rsidP="00440CD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Визуальная поддержка.</w:t>
      </w:r>
      <w:r w:rsidRPr="00440CDF">
        <w:rPr>
          <w:color w:val="0F1115"/>
          <w:sz w:val="28"/>
        </w:rPr>
        <w:t xml:space="preserve"> Использование карточек с изображением действий (символы) помогает перейти от наглядного подражания к инструкции.</w:t>
      </w:r>
    </w:p>
    <w:p w:rsidR="00440CDF" w:rsidRPr="00440CDF" w:rsidRDefault="00440CDF" w:rsidP="00440CD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Эмоциональное подкрепление.</w:t>
      </w:r>
      <w:r w:rsidRPr="00440CDF">
        <w:rPr>
          <w:color w:val="0F1115"/>
          <w:sz w:val="28"/>
        </w:rPr>
        <w:t xml:space="preserve"> Яркая мимика, похвала, тактильный контакт (</w:t>
      </w:r>
      <w:proofErr w:type="spellStart"/>
      <w:r w:rsidRPr="00440CDF">
        <w:rPr>
          <w:color w:val="0F1115"/>
          <w:sz w:val="28"/>
        </w:rPr>
        <w:t>обнимашки</w:t>
      </w:r>
      <w:proofErr w:type="spellEnd"/>
      <w:r w:rsidRPr="00440CDF">
        <w:rPr>
          <w:color w:val="0F1115"/>
          <w:sz w:val="28"/>
        </w:rPr>
        <w:t xml:space="preserve">, «пять») должны следовать </w:t>
      </w:r>
      <w:r w:rsidRPr="00440CDF">
        <w:rPr>
          <w:rStyle w:val="a4"/>
          <w:color w:val="0F1115"/>
          <w:sz w:val="28"/>
        </w:rPr>
        <w:t>сразу</w:t>
      </w:r>
      <w:r w:rsidRPr="00440CDF">
        <w:rPr>
          <w:color w:val="0F1115"/>
          <w:sz w:val="28"/>
        </w:rPr>
        <w:t xml:space="preserve"> после правильного действия.</w:t>
      </w:r>
    </w:p>
    <w:p w:rsidR="00440CDF" w:rsidRPr="00440CDF" w:rsidRDefault="00440CDF" w:rsidP="00440CD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440CDF">
        <w:rPr>
          <w:rStyle w:val="a3"/>
          <w:color w:val="0F1115"/>
          <w:sz w:val="28"/>
        </w:rPr>
        <w:t>Генерализация.</w:t>
      </w:r>
      <w:r w:rsidRPr="00440CDF">
        <w:rPr>
          <w:color w:val="0F1115"/>
          <w:sz w:val="28"/>
        </w:rPr>
        <w:t xml:space="preserve"> Переносим навык с занятий в режимные моменты (умывание, одевание).</w:t>
      </w:r>
    </w:p>
    <w:p w:rsidR="00440CDF" w:rsidRPr="00440CDF" w:rsidRDefault="00440CDF" w:rsidP="00440CDF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i/>
          <w:color w:val="0F1115"/>
          <w:sz w:val="28"/>
        </w:rPr>
      </w:pPr>
      <w:r w:rsidRPr="00440CDF">
        <w:rPr>
          <w:b/>
          <w:i/>
          <w:color w:val="0F1115"/>
          <w:sz w:val="28"/>
        </w:rPr>
        <w:t>Эти простые, но системные упражнения позволяют запустить механизм социального научения и подготовить базу для формирования речи и учебного поведения</w:t>
      </w:r>
      <w:bookmarkStart w:id="0" w:name="_GoBack"/>
      <w:bookmarkEnd w:id="0"/>
      <w:r w:rsidRPr="00440CDF">
        <w:rPr>
          <w:b/>
          <w:i/>
          <w:color w:val="0F1115"/>
          <w:sz w:val="28"/>
        </w:rPr>
        <w:t>.</w:t>
      </w:r>
    </w:p>
    <w:p w:rsidR="008C29E3" w:rsidRPr="00440CDF" w:rsidRDefault="008C29E3" w:rsidP="00440CDF">
      <w:pPr>
        <w:jc w:val="both"/>
        <w:rPr>
          <w:rFonts w:ascii="Times New Roman" w:hAnsi="Times New Roman" w:cs="Times New Roman"/>
          <w:sz w:val="24"/>
        </w:rPr>
      </w:pPr>
    </w:p>
    <w:sectPr w:rsidR="008C29E3" w:rsidRPr="00440CDF" w:rsidSect="00440CDF">
      <w:pgSz w:w="11906" w:h="16838"/>
      <w:pgMar w:top="1134" w:right="1133" w:bottom="1134" w:left="1701" w:header="708" w:footer="708" w:gutter="0"/>
      <w:pgBorders w:offsetFrom="page">
        <w:top w:val="earth1" w:sz="19" w:space="24" w:color="auto"/>
        <w:left w:val="earth1" w:sz="19" w:space="24" w:color="auto"/>
        <w:bottom w:val="earth1" w:sz="19" w:space="24" w:color="auto"/>
        <w:right w:val="earth1" w:sz="1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87C98"/>
    <w:multiLevelType w:val="multilevel"/>
    <w:tmpl w:val="3224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271C4"/>
    <w:multiLevelType w:val="multilevel"/>
    <w:tmpl w:val="9252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E55CB"/>
    <w:multiLevelType w:val="multilevel"/>
    <w:tmpl w:val="47726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DF"/>
    <w:rsid w:val="00440CDF"/>
    <w:rsid w:val="008C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3B0B"/>
  <w15:chartTrackingRefBased/>
  <w15:docId w15:val="{9143A33B-D65F-4416-994F-DB9213AA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40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40CDF"/>
    <w:rPr>
      <w:b/>
      <w:bCs/>
    </w:rPr>
  </w:style>
  <w:style w:type="character" w:styleId="a4">
    <w:name w:val="Emphasis"/>
    <w:basedOn w:val="a0"/>
    <w:uiPriority w:val="20"/>
    <w:qFormat/>
    <w:rsid w:val="00440CDF"/>
    <w:rPr>
      <w:i/>
      <w:iCs/>
    </w:rPr>
  </w:style>
  <w:style w:type="table" w:styleId="a5">
    <w:name w:val="Table Grid"/>
    <w:basedOn w:val="a1"/>
    <w:uiPriority w:val="59"/>
    <w:rsid w:val="0044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6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2026-10-08T15:34:00Z</dcterms:created>
  <dcterms:modified xsi:type="dcterms:W3CDTF">2026-10-08T15:37:00Z</dcterms:modified>
</cp:coreProperties>
</file>